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BD422B4" w:rsidR="00996E29" w:rsidRPr="001C52FC" w:rsidRDefault="00E332D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266E4EE" w:rsidR="00996E29" w:rsidRPr="001D09FE" w:rsidRDefault="002742B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6CD377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2742B8" w:rsidRPr="002742B8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66EDD" w:rsidRPr="00366EDD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66EDD" w:rsidRPr="00366EDD">
        <w:rPr>
          <w:rFonts w:ascii="Times New Roman" w:hAnsi="Times New Roman"/>
          <w:b/>
          <w:bCs/>
          <w:i/>
          <w:iCs/>
          <w:sz w:val="24"/>
          <w:szCs w:val="24"/>
        </w:rPr>
        <w:t>Четыре</w:t>
      </w:r>
      <w:r w:rsidR="00132551" w:rsidRPr="00132551">
        <w:rPr>
          <w:rFonts w:ascii="Times New Roman" w:hAnsi="Times New Roman"/>
          <w:b/>
          <w:bCs/>
          <w:i/>
          <w:iCs/>
          <w:sz w:val="24"/>
          <w:szCs w:val="24"/>
        </w:rPr>
        <w:t>ста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12C7E35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color w:val="000000"/>
        </w:rPr>
        <w:t>8</w:t>
      </w:r>
      <w:r w:rsidR="002742B8" w:rsidRPr="002742B8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A395BDB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E332D4" w:rsidRPr="00E332D4">
        <w:rPr>
          <w:b/>
          <w:i/>
          <w:sz w:val="22"/>
          <w:szCs w:val="22"/>
        </w:rPr>
        <w:t>8</w:t>
      </w:r>
      <w:r w:rsidR="002742B8" w:rsidRPr="002742B8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2742B8" w:rsidRPr="002742B8">
        <w:rPr>
          <w:b/>
          <w:i/>
          <w:sz w:val="22"/>
          <w:szCs w:val="22"/>
        </w:rPr>
        <w:t>30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2742B8" w:rsidRPr="002742B8">
        <w:rPr>
          <w:b/>
          <w:i/>
          <w:sz w:val="22"/>
          <w:szCs w:val="22"/>
        </w:rPr>
        <w:t>2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529A79C" w:rsidR="00610E7E" w:rsidRPr="00FC2AE6" w:rsidRDefault="00366E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4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Четырес</w:t>
      </w:r>
      <w:r w:rsidR="00132551" w:rsidRPr="00677E98">
        <w:rPr>
          <w:b/>
          <w:bCs/>
          <w:i/>
          <w:iCs/>
          <w:sz w:val="22"/>
          <w:szCs w:val="22"/>
        </w:rPr>
        <w:t>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66E1CA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77E98" w:rsidRPr="00677E98">
        <w:rPr>
          <w:b/>
          <w:bCs/>
          <w:i/>
          <w:iCs/>
          <w:color w:val="000000" w:themeColor="text1"/>
          <w:sz w:val="22"/>
          <w:szCs w:val="22"/>
        </w:rPr>
        <w:t>16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332D4" w:rsidRPr="00E332D4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716B935B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2742B8">
        <w:rPr>
          <w:rFonts w:ascii="Times New Roman" w:eastAsiaTheme="minorEastAsia" w:hAnsi="Times New Roman"/>
          <w:szCs w:val="20"/>
        </w:rPr>
        <w:t xml:space="preserve"> - 6 </w:t>
      </w:r>
    </w:p>
    <w:p w14:paraId="4700EB51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09505394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2742B8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69A2FD60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2742B8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2CDF36F3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2742B8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0A4BD169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2742B8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19AD676A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2742B8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2C64FED0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2742B8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399038F8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Где</w:t>
      </w:r>
    </w:p>
    <w:p w14:paraId="6CE65FE7" w14:textId="2CECC6D6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2742B8">
        <w:rPr>
          <w:rFonts w:ascii="Times New Roman" w:eastAsiaTheme="minorEastAsia" w:hAnsi="Times New Roman"/>
          <w:szCs w:val="20"/>
        </w:rPr>
        <w:t xml:space="preserve"> – величина </w:t>
      </w:r>
      <w:r w:rsidRPr="002742B8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2742B8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2742B8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CFA0AA4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n</w:t>
      </w:r>
      <w:r w:rsidRPr="002742B8">
        <w:rPr>
          <w:rFonts w:ascii="Times New Roman" w:eastAsiaTheme="minorEastAsia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j и номером последней Даты выплаты дополнительного дохода, в которую сумма Дополнительного дохода превышала 0. При этом, в случае, если до соответствующей Даты выплаты дополнительного дохода j выплата Дополнительного дохода ни разу не превышала 0, величина n принимается равной такому номеру Даты выплаты дополнительного дохода j; </w:t>
      </w:r>
    </w:p>
    <w:p w14:paraId="7F771ACD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K(j)</w:t>
      </w:r>
      <w:r w:rsidRPr="002742B8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</w:t>
      </w:r>
      <w:r w:rsidRPr="002742B8">
        <w:rPr>
          <w:rFonts w:ascii="Times New Roman" w:eastAsiaTheme="minorEastAsia" w:hAnsi="Times New Roman"/>
          <w:szCs w:val="20"/>
          <w:vertAlign w:val="subscript"/>
        </w:rPr>
        <w:t>i</w:t>
      </w:r>
      <w:r w:rsidRPr="002742B8">
        <w:rPr>
          <w:rFonts w:ascii="Times New Roman" w:eastAsiaTheme="minorEastAsia" w:hAnsi="Times New Roman"/>
          <w:szCs w:val="20"/>
        </w:rPr>
        <w:t>(j) / S</w:t>
      </w:r>
      <w:r w:rsidRPr="002742B8">
        <w:rPr>
          <w:rFonts w:ascii="Times New Roman" w:eastAsiaTheme="minorEastAsia" w:hAnsi="Times New Roman"/>
          <w:szCs w:val="20"/>
          <w:vertAlign w:val="subscript"/>
        </w:rPr>
        <w:t>i</w:t>
      </w:r>
      <w:r w:rsidRPr="002742B8">
        <w:rPr>
          <w:rFonts w:ascii="Times New Roman" w:eastAsiaTheme="minorEastAsia" w:hAnsi="Times New Roman"/>
          <w:szCs w:val="20"/>
        </w:rPr>
        <w:t>(0) больше или равна величине Барьер(j) для каждого Референсного актива (i); и значение, равное 0, в любом ином случае;</w:t>
      </w:r>
    </w:p>
    <w:p w14:paraId="174C39E3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i</w:t>
      </w:r>
      <w:r w:rsidRPr="002742B8">
        <w:rPr>
          <w:rFonts w:ascii="Times New Roman" w:eastAsiaTheme="minorEastAsia" w:hAnsi="Times New Roman"/>
          <w:szCs w:val="20"/>
        </w:rPr>
        <w:t xml:space="preserve"> – порядковый номер Референсного актива (i = 1, 2, 3, 4);</w:t>
      </w:r>
    </w:p>
    <w:p w14:paraId="6255866A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2742B8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(0)</w:t>
      </w:r>
      <w:r w:rsidRPr="002742B8">
        <w:rPr>
          <w:rFonts w:ascii="Times New Roman" w:eastAsiaTheme="minorEastAsia" w:hAnsi="Times New Roman"/>
          <w:szCs w:val="20"/>
        </w:rPr>
        <w:t xml:space="preserve"> – цена Референсного актива (i) в Дату начала размещения Биржевых облигаций в соответствующем Источнике цены в валюте Референсного актива;</w:t>
      </w:r>
    </w:p>
    <w:p w14:paraId="06127F41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2742B8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(j)</w:t>
      </w:r>
      <w:r w:rsidRPr="002742B8">
        <w:rPr>
          <w:rFonts w:ascii="Times New Roman" w:eastAsiaTheme="minorEastAsia" w:hAnsi="Times New Roman"/>
          <w:szCs w:val="20"/>
        </w:rPr>
        <w:t xml:space="preserve"> – цена Референсного актива (i) в Дату определения дополнительного дохода (j) в соответствующем Источнике цены в валюте Референсного актива.</w:t>
      </w:r>
    </w:p>
    <w:p w14:paraId="0EA8A5ED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Барьер(j)</w:t>
      </w:r>
      <w:r w:rsidRPr="002742B8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76F2293F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j = 1:</w:t>
      </w:r>
      <w:r w:rsidRPr="002742B8">
        <w:rPr>
          <w:rFonts w:ascii="Times New Roman" w:eastAsiaTheme="minorEastAsia" w:hAnsi="Times New Roman"/>
          <w:szCs w:val="20"/>
        </w:rPr>
        <w:t xml:space="preserve"> 100%</w:t>
      </w:r>
    </w:p>
    <w:p w14:paraId="43253FE9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j = 2:</w:t>
      </w:r>
      <w:r w:rsidRPr="002742B8">
        <w:rPr>
          <w:rFonts w:ascii="Times New Roman" w:eastAsiaTheme="minorEastAsia" w:hAnsi="Times New Roman"/>
          <w:szCs w:val="20"/>
        </w:rPr>
        <w:t xml:space="preserve"> 100%</w:t>
      </w:r>
    </w:p>
    <w:p w14:paraId="0711A863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j = 3:</w:t>
      </w:r>
      <w:r w:rsidRPr="002742B8">
        <w:rPr>
          <w:rFonts w:ascii="Times New Roman" w:eastAsiaTheme="minorEastAsia" w:hAnsi="Times New Roman"/>
          <w:szCs w:val="20"/>
        </w:rPr>
        <w:t xml:space="preserve"> 100%</w:t>
      </w:r>
    </w:p>
    <w:p w14:paraId="4B75902B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j = 4:</w:t>
      </w:r>
      <w:r w:rsidRPr="002742B8">
        <w:rPr>
          <w:rFonts w:ascii="Times New Roman" w:eastAsiaTheme="minorEastAsia" w:hAnsi="Times New Roman"/>
          <w:szCs w:val="20"/>
        </w:rPr>
        <w:t xml:space="preserve"> 100%</w:t>
      </w:r>
    </w:p>
    <w:p w14:paraId="78288FEB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j = 5:</w:t>
      </w:r>
      <w:r w:rsidRPr="002742B8">
        <w:rPr>
          <w:rFonts w:ascii="Times New Roman" w:eastAsiaTheme="minorEastAsia" w:hAnsi="Times New Roman"/>
          <w:szCs w:val="20"/>
        </w:rPr>
        <w:t xml:space="preserve"> 100%</w:t>
      </w:r>
    </w:p>
    <w:p w14:paraId="47262375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j = 6:</w:t>
      </w:r>
      <w:r w:rsidRPr="002742B8">
        <w:rPr>
          <w:rFonts w:ascii="Times New Roman" w:eastAsiaTheme="minorEastAsia" w:hAnsi="Times New Roman"/>
          <w:szCs w:val="20"/>
        </w:rPr>
        <w:t xml:space="preserve"> 100%</w:t>
      </w:r>
    </w:p>
    <w:p w14:paraId="1D2B075D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2742B8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16C635AE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4D062535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Для периодов дополнительного дохода с порядковыми номерами 1, 2, 3, 4, 5 Датой определения дополнительного дохода является 2 (второй) Торговый День, предшествующий Дате выплаты дополнительного дохода. 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2742B8">
        <w:rPr>
          <w:rFonts w:ascii="Times New Roman" w:eastAsiaTheme="minorEastAsia" w:hAnsi="Times New Roman"/>
          <w:szCs w:val="20"/>
        </w:rPr>
        <w:br/>
      </w:r>
      <w:r w:rsidRPr="002742B8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7FCE49A7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27EC7EFC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szCs w:val="20"/>
        </w:rPr>
        <w:t>i = 1</w:t>
      </w:r>
    </w:p>
    <w:p w14:paraId="36D05201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Наименование: ПАО "Сбербанк России"</w:t>
      </w:r>
    </w:p>
    <w:p w14:paraId="70E6BCA3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2742B8">
        <w:rPr>
          <w:rFonts w:ascii="Times New Roman" w:eastAsiaTheme="minorEastAsia" w:hAnsi="Times New Roman"/>
          <w:szCs w:val="20"/>
          <w:lang w:val="en-US"/>
        </w:rPr>
        <w:t>ISIN: US80585Y3080</w:t>
      </w:r>
    </w:p>
    <w:p w14:paraId="5EDFB5F8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2742B8">
        <w:rPr>
          <w:rFonts w:ascii="Times New Roman" w:eastAsiaTheme="minorEastAsia" w:hAnsi="Times New Roman"/>
          <w:szCs w:val="20"/>
        </w:rPr>
        <w:t>Биржа</w:t>
      </w:r>
      <w:r w:rsidRPr="002742B8">
        <w:rPr>
          <w:rFonts w:ascii="Times New Roman" w:eastAsiaTheme="minorEastAsia" w:hAnsi="Times New Roman"/>
          <w:szCs w:val="20"/>
          <w:lang w:val="en-US"/>
        </w:rPr>
        <w:t xml:space="preserve"> </w:t>
      </w:r>
      <w:r w:rsidRPr="002742B8">
        <w:rPr>
          <w:rFonts w:ascii="Times New Roman" w:eastAsiaTheme="minorEastAsia" w:hAnsi="Times New Roman"/>
          <w:szCs w:val="20"/>
        </w:rPr>
        <w:t>Референсного</w:t>
      </w:r>
      <w:r w:rsidRPr="002742B8">
        <w:rPr>
          <w:rFonts w:ascii="Times New Roman" w:eastAsiaTheme="minorEastAsia" w:hAnsi="Times New Roman"/>
          <w:szCs w:val="20"/>
          <w:lang w:val="en-US"/>
        </w:rPr>
        <w:t xml:space="preserve"> </w:t>
      </w:r>
      <w:r w:rsidRPr="002742B8">
        <w:rPr>
          <w:rFonts w:ascii="Times New Roman" w:eastAsiaTheme="minorEastAsia" w:hAnsi="Times New Roman"/>
          <w:szCs w:val="20"/>
        </w:rPr>
        <w:t>актива</w:t>
      </w:r>
      <w:r w:rsidRPr="002742B8">
        <w:rPr>
          <w:rFonts w:ascii="Times New Roman" w:eastAsiaTheme="minorEastAsia" w:hAnsi="Times New Roman"/>
          <w:szCs w:val="20"/>
          <w:lang w:val="en-US"/>
        </w:rPr>
        <w:t>: London Stock Exchange (LSE)</w:t>
      </w:r>
    </w:p>
    <w:p w14:paraId="4754D591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Источник цены (ссылка): https://www.londonstockexchange.com/stock/SBER/sberbank-of-russia/company-page</w:t>
      </w:r>
    </w:p>
    <w:p w14:paraId="1C91F9CA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"Last close" </w:t>
      </w:r>
    </w:p>
    <w:p w14:paraId="27287341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szCs w:val="20"/>
        </w:rPr>
        <w:t>i = 2</w:t>
      </w:r>
    </w:p>
    <w:p w14:paraId="55DA5948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Наименование: ПАО "Газпром"</w:t>
      </w:r>
    </w:p>
    <w:p w14:paraId="34A002BD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ISIN: US3682872078</w:t>
      </w:r>
    </w:p>
    <w:p w14:paraId="7995CF7E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Биржа Референсного актива: London Stock Exchange (LSE)</w:t>
      </w:r>
    </w:p>
    <w:p w14:paraId="034615E1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Источник цены (ссылка): https://www.londonstockexchange.com/stock/OGZD/pjsc-gazprom/company-page</w:t>
      </w:r>
    </w:p>
    <w:p w14:paraId="32C20B04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"Last close" </w:t>
      </w:r>
    </w:p>
    <w:p w14:paraId="592D6DB9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szCs w:val="20"/>
        </w:rPr>
        <w:t>i = 3</w:t>
      </w:r>
    </w:p>
    <w:p w14:paraId="3ED737CF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Наименование: Yandex NV</w:t>
      </w:r>
    </w:p>
    <w:p w14:paraId="6184E5BA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ISIN: NL0009805522</w:t>
      </w:r>
    </w:p>
    <w:p w14:paraId="426DEF21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0E7BA7AC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Источник цены (ссылка): https://www.nasdaq.com/market-activity/stocks/yndx/historical</w:t>
      </w:r>
    </w:p>
    <w:p w14:paraId="38DC2D6E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71C7946C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2742B8">
        <w:rPr>
          <w:rFonts w:ascii="Times New Roman" w:eastAsiaTheme="minorEastAsia" w:hAnsi="Times New Roman"/>
          <w:b/>
          <w:bCs/>
          <w:szCs w:val="20"/>
          <w:lang w:val="en-US"/>
        </w:rPr>
        <w:t>i = 4</w:t>
      </w:r>
    </w:p>
    <w:p w14:paraId="1095EDAC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2742B8">
        <w:rPr>
          <w:rFonts w:ascii="Times New Roman" w:eastAsiaTheme="minorEastAsia" w:hAnsi="Times New Roman"/>
          <w:szCs w:val="20"/>
        </w:rPr>
        <w:t>Наименование</w:t>
      </w:r>
      <w:r w:rsidRPr="002742B8">
        <w:rPr>
          <w:rFonts w:ascii="Times New Roman" w:eastAsiaTheme="minorEastAsia" w:hAnsi="Times New Roman"/>
          <w:szCs w:val="20"/>
          <w:lang w:val="en-US"/>
        </w:rPr>
        <w:t>: Ozon Holdings PLC</w:t>
      </w:r>
    </w:p>
    <w:p w14:paraId="62CB8B77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2742B8">
        <w:rPr>
          <w:rFonts w:ascii="Times New Roman" w:eastAsiaTheme="minorEastAsia" w:hAnsi="Times New Roman"/>
          <w:szCs w:val="20"/>
          <w:lang w:val="en-US"/>
        </w:rPr>
        <w:t>ISIN: US69269L1044</w:t>
      </w:r>
    </w:p>
    <w:p w14:paraId="35B245F9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133330F6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Источник цены (ссылка): https://www.nasdaq.com/market-activity/stocks/ozon/historical</w:t>
      </w:r>
    </w:p>
    <w:p w14:paraId="2DE9F621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039422A3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501881A" w14:textId="77777777" w:rsidR="002742B8" w:rsidRPr="002742B8" w:rsidRDefault="002742B8" w:rsidP="002742B8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06CF32D4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55DD9946" w14:textId="77777777" w:rsidR="002742B8" w:rsidRPr="002742B8" w:rsidRDefault="002742B8" w:rsidP="002742B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742B8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314DFD5B" w:rsidR="00F528F2" w:rsidRPr="002742B8" w:rsidRDefault="002742B8" w:rsidP="002742B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2"/>
        </w:rPr>
      </w:pPr>
      <w:r w:rsidRPr="002742B8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2742B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08CFC" w14:textId="77777777" w:rsidR="008D4D23" w:rsidRDefault="008D4D23" w:rsidP="0053664B">
      <w:pPr>
        <w:spacing w:after="0" w:line="240" w:lineRule="auto"/>
      </w:pPr>
      <w:r>
        <w:separator/>
      </w:r>
    </w:p>
  </w:endnote>
  <w:endnote w:type="continuationSeparator" w:id="0">
    <w:p w14:paraId="59A2D8D0" w14:textId="77777777" w:rsidR="008D4D23" w:rsidRDefault="008D4D2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FE5E7C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C565A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8124C" w14:textId="77777777" w:rsidR="008D4D23" w:rsidRDefault="008D4D23" w:rsidP="0053664B">
      <w:pPr>
        <w:spacing w:after="0" w:line="240" w:lineRule="auto"/>
      </w:pPr>
      <w:r>
        <w:separator/>
      </w:r>
    </w:p>
  </w:footnote>
  <w:footnote w:type="continuationSeparator" w:id="0">
    <w:p w14:paraId="65AC94C1" w14:textId="77777777" w:rsidR="008D4D23" w:rsidRDefault="008D4D2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0414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2551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2B8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6EDD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3B19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77E9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6EA4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1F39"/>
    <w:rsid w:val="008D271F"/>
    <w:rsid w:val="008D34FD"/>
    <w:rsid w:val="008D4D23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400"/>
    <w:rsid w:val="008F3B62"/>
    <w:rsid w:val="008F3B6B"/>
    <w:rsid w:val="008F4551"/>
    <w:rsid w:val="00900331"/>
    <w:rsid w:val="00901DD2"/>
    <w:rsid w:val="00905868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C565A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AC5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32D4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09E65F84-8BE3-44A4-9C9C-D7B035A3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300C-B70D-4A6B-9BAA-CDCB1D14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5103</Words>
  <Characters>29090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2022-02-15T13:33:00Z</dcterms:created>
  <dcterms:modified xsi:type="dcterms:W3CDTF">2022-02-15T13:33:00Z</dcterms:modified>
</cp:coreProperties>
</file>